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29E" w:rsidRPr="000C729E" w:rsidRDefault="000C729E" w:rsidP="000C729E">
      <w:pPr>
        <w:pStyle w:val="NormalWeb"/>
        <w:shd w:val="clear" w:color="auto" w:fill="F4F9FD"/>
        <w:spacing w:before="138" w:beforeAutospacing="0" w:after="138" w:afterAutospacing="0" w:line="263" w:lineRule="atLeast"/>
        <w:jc w:val="both"/>
        <w:rPr>
          <w:rFonts w:ascii="Arial" w:hAnsi="Arial" w:cs="Arial"/>
          <w:b/>
          <w:color w:val="090909"/>
          <w:sz w:val="28"/>
          <w:szCs w:val="28"/>
        </w:rPr>
      </w:pPr>
      <w:r w:rsidRPr="000C729E">
        <w:rPr>
          <w:rFonts w:ascii="Arial" w:hAnsi="Arial" w:cs="Arial"/>
          <w:b/>
          <w:color w:val="090909"/>
          <w:sz w:val="28"/>
          <w:szCs w:val="28"/>
        </w:rPr>
        <w:t>TRIBUNAL SUPREMO ELECTORAL</w:t>
      </w:r>
    </w:p>
    <w:p w:rsidR="000C729E" w:rsidRDefault="000C729E" w:rsidP="000C729E">
      <w:pPr>
        <w:pStyle w:val="NormalWeb"/>
        <w:shd w:val="clear" w:color="auto" w:fill="F4F9FD"/>
        <w:spacing w:before="138" w:beforeAutospacing="0" w:after="138" w:afterAutospacing="0" w:line="263" w:lineRule="atLeast"/>
        <w:jc w:val="both"/>
        <w:rPr>
          <w:rFonts w:ascii="Arial" w:hAnsi="Arial" w:cs="Arial"/>
          <w:color w:val="090909"/>
          <w:sz w:val="18"/>
          <w:szCs w:val="18"/>
        </w:rPr>
      </w:pPr>
      <w:r>
        <w:rPr>
          <w:rFonts w:ascii="Arial" w:hAnsi="Arial" w:cs="Arial"/>
          <w:color w:val="090909"/>
          <w:sz w:val="18"/>
          <w:szCs w:val="18"/>
        </w:rPr>
        <w:t>El Tribunal Supremo Electoral es la máxima autoridad en materia electoral.</w:t>
      </w:r>
    </w:p>
    <w:p w:rsidR="000C729E" w:rsidRDefault="000C729E" w:rsidP="000C729E">
      <w:pPr>
        <w:pStyle w:val="NormalWeb"/>
        <w:shd w:val="clear" w:color="auto" w:fill="F4F9FD"/>
        <w:spacing w:before="138" w:beforeAutospacing="0" w:after="138" w:afterAutospacing="0" w:line="263" w:lineRule="atLeast"/>
        <w:jc w:val="both"/>
        <w:rPr>
          <w:rFonts w:ascii="Arial" w:hAnsi="Arial" w:cs="Arial"/>
          <w:color w:val="090909"/>
          <w:sz w:val="18"/>
          <w:szCs w:val="18"/>
        </w:rPr>
      </w:pPr>
      <w:r>
        <w:rPr>
          <w:rFonts w:ascii="Arial" w:hAnsi="Arial" w:cs="Arial"/>
          <w:color w:val="090909"/>
          <w:sz w:val="18"/>
          <w:szCs w:val="18"/>
        </w:rPr>
        <w:t xml:space="preserve">Es independiente y por consiguiente no supeditado a organismo alguno del Estado. Su organización, funcionamiento y atribuciones están determinados en la Ley Electoral y de Partidos Políticos según el artículo 121 de la Ley Electoral y de Partidos </w:t>
      </w:r>
      <w:proofErr w:type="gramStart"/>
      <w:r>
        <w:rPr>
          <w:rFonts w:ascii="Arial" w:hAnsi="Arial" w:cs="Arial"/>
          <w:color w:val="090909"/>
          <w:sz w:val="18"/>
          <w:szCs w:val="18"/>
        </w:rPr>
        <w:t>Políticos ,</w:t>
      </w:r>
      <w:proofErr w:type="gramEnd"/>
      <w:r>
        <w:rPr>
          <w:rFonts w:ascii="Arial" w:hAnsi="Arial" w:cs="Arial"/>
          <w:color w:val="090909"/>
          <w:sz w:val="18"/>
          <w:szCs w:val="18"/>
        </w:rPr>
        <w:t xml:space="preserve"> la cual está vigente desde el 14 de enero de 1986. Fue creado en 1983, con el fin de ser el organismo encargado de realizar elecciones libres y transparentes en Guatemala.</w:t>
      </w:r>
    </w:p>
    <w:p w:rsidR="000C729E" w:rsidRDefault="000C729E" w:rsidP="000C729E">
      <w:pPr>
        <w:pStyle w:val="NormalWeb"/>
        <w:shd w:val="clear" w:color="auto" w:fill="F4F9FD"/>
        <w:spacing w:before="138" w:beforeAutospacing="0" w:after="138" w:afterAutospacing="0" w:line="263" w:lineRule="atLeast"/>
        <w:jc w:val="both"/>
        <w:rPr>
          <w:rFonts w:ascii="Arial" w:hAnsi="Arial" w:cs="Arial"/>
          <w:color w:val="090909"/>
          <w:sz w:val="18"/>
          <w:szCs w:val="18"/>
        </w:rPr>
      </w:pPr>
      <w:r>
        <w:rPr>
          <w:rFonts w:ascii="Arial" w:hAnsi="Arial" w:cs="Arial"/>
          <w:color w:val="090909"/>
          <w:sz w:val="18"/>
          <w:szCs w:val="18"/>
        </w:rPr>
        <w:t> </w:t>
      </w:r>
    </w:p>
    <w:p w:rsidR="000C729E" w:rsidRDefault="000C729E" w:rsidP="000C729E">
      <w:pPr>
        <w:pStyle w:val="NormalWeb"/>
        <w:shd w:val="clear" w:color="auto" w:fill="F4F9FD"/>
        <w:spacing w:before="0" w:beforeAutospacing="0" w:after="0" w:afterAutospacing="0" w:line="263" w:lineRule="atLeast"/>
        <w:jc w:val="both"/>
        <w:rPr>
          <w:rFonts w:ascii="Arial" w:hAnsi="Arial" w:cs="Arial"/>
          <w:color w:val="090909"/>
          <w:sz w:val="18"/>
          <w:szCs w:val="18"/>
        </w:rPr>
      </w:pPr>
      <w:r w:rsidRPr="000C729E">
        <w:rPr>
          <w:rStyle w:val="Textoennegrita"/>
          <w:rFonts w:ascii="Arial" w:hAnsi="Arial" w:cs="Arial"/>
          <w:color w:val="090909"/>
          <w:sz w:val="28"/>
          <w:szCs w:val="28"/>
        </w:rPr>
        <w:t>VISIÓN</w:t>
      </w:r>
      <w:r w:rsidRPr="000C729E">
        <w:rPr>
          <w:rFonts w:ascii="Arial" w:hAnsi="Arial" w:cs="Arial"/>
          <w:color w:val="090909"/>
          <w:sz w:val="28"/>
          <w:szCs w:val="28"/>
        </w:rPr>
        <w:br/>
      </w:r>
      <w:r>
        <w:rPr>
          <w:rFonts w:ascii="Arial" w:hAnsi="Arial" w:cs="Arial"/>
          <w:color w:val="090909"/>
          <w:sz w:val="18"/>
          <w:szCs w:val="18"/>
        </w:rPr>
        <w:t>Ser la institución electoral que incremente la participación en la emisión de un voto consciente y responsable; que consolide el sistema democrático y el respeto pleno de la voluntad popular en los procesos electorales.</w:t>
      </w:r>
    </w:p>
    <w:p w:rsidR="000C729E" w:rsidRDefault="000C729E" w:rsidP="000C729E">
      <w:pPr>
        <w:pStyle w:val="NormalWeb"/>
        <w:shd w:val="clear" w:color="auto" w:fill="F4F9FD"/>
        <w:spacing w:before="138" w:beforeAutospacing="0" w:after="138" w:afterAutospacing="0" w:line="263" w:lineRule="atLeast"/>
        <w:jc w:val="both"/>
        <w:rPr>
          <w:rFonts w:ascii="Arial" w:hAnsi="Arial" w:cs="Arial"/>
          <w:color w:val="090909"/>
          <w:sz w:val="18"/>
          <w:szCs w:val="18"/>
        </w:rPr>
      </w:pPr>
    </w:p>
    <w:p w:rsidR="000C729E" w:rsidRDefault="000C729E" w:rsidP="000C729E">
      <w:pPr>
        <w:pStyle w:val="NormalWeb"/>
        <w:shd w:val="clear" w:color="auto" w:fill="F4F9FD"/>
        <w:spacing w:before="0" w:beforeAutospacing="0" w:after="0" w:afterAutospacing="0" w:line="263" w:lineRule="atLeast"/>
        <w:jc w:val="both"/>
        <w:rPr>
          <w:rFonts w:ascii="Arial" w:hAnsi="Arial" w:cs="Arial"/>
          <w:color w:val="090909"/>
          <w:sz w:val="18"/>
          <w:szCs w:val="18"/>
        </w:rPr>
      </w:pPr>
      <w:r w:rsidRPr="000C729E">
        <w:rPr>
          <w:rStyle w:val="Textoennegrita"/>
          <w:rFonts w:ascii="Arial" w:hAnsi="Arial" w:cs="Arial"/>
          <w:color w:val="090909"/>
          <w:sz w:val="28"/>
          <w:szCs w:val="28"/>
        </w:rPr>
        <w:t>MISIÓN</w:t>
      </w:r>
      <w:r w:rsidRPr="000C729E">
        <w:rPr>
          <w:rFonts w:ascii="Arial" w:hAnsi="Arial" w:cs="Arial"/>
          <w:color w:val="090909"/>
          <w:sz w:val="28"/>
          <w:szCs w:val="28"/>
        </w:rPr>
        <w:br/>
      </w:r>
      <w:r>
        <w:rPr>
          <w:rFonts w:ascii="Arial" w:hAnsi="Arial" w:cs="Arial"/>
          <w:color w:val="090909"/>
          <w:sz w:val="18"/>
          <w:szCs w:val="18"/>
        </w:rPr>
        <w:t>Somos la máxima autoridad en materia electoral, independiente, objetiva, confiable y garante de la administración de los procesos electorales, que permite fortalecer el ejercicio de los derechos y deberes de los(as) ciudadanos(as), los derechos y obligaciones de las organizaciones políticas y el funcionamiento de los órganos electorales temporales institucionales para la elección de las autoridades del país.</w:t>
      </w:r>
    </w:p>
    <w:p w:rsidR="000C729E" w:rsidRDefault="000C729E" w:rsidP="000C729E">
      <w:pPr>
        <w:pStyle w:val="NormalWeb"/>
        <w:shd w:val="clear" w:color="auto" w:fill="F4F9FD"/>
        <w:spacing w:before="138" w:beforeAutospacing="0" w:after="138" w:afterAutospacing="0" w:line="263" w:lineRule="atLeast"/>
        <w:jc w:val="both"/>
        <w:rPr>
          <w:rFonts w:ascii="Arial" w:hAnsi="Arial" w:cs="Arial"/>
          <w:color w:val="090909"/>
          <w:sz w:val="18"/>
          <w:szCs w:val="18"/>
        </w:rPr>
      </w:pPr>
    </w:p>
    <w:p w:rsidR="000C729E" w:rsidRPr="000C729E" w:rsidRDefault="000C729E" w:rsidP="000C729E">
      <w:pPr>
        <w:jc w:val="both"/>
        <w:rPr>
          <w:rFonts w:ascii="Arial" w:hAnsi="Arial" w:cs="Arial"/>
          <w:b/>
          <w:sz w:val="28"/>
          <w:szCs w:val="28"/>
        </w:rPr>
      </w:pPr>
      <w:r w:rsidRPr="000C729E">
        <w:rPr>
          <w:rFonts w:ascii="Arial" w:hAnsi="Arial" w:cs="Arial"/>
          <w:b/>
          <w:sz w:val="28"/>
          <w:szCs w:val="28"/>
        </w:rPr>
        <w:t>OBJETIVOS:</w:t>
      </w:r>
    </w:p>
    <w:p w:rsidR="000C729E" w:rsidRPr="000C729E" w:rsidRDefault="000C729E" w:rsidP="000C729E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0C729E">
        <w:rPr>
          <w:rFonts w:ascii="Arial" w:hAnsi="Arial" w:cs="Arial"/>
          <w:sz w:val="18"/>
          <w:szCs w:val="18"/>
        </w:rPr>
        <w:t xml:space="preserve">Fortalecer la función jurisdiccional constitucional del Tribunal Supremo Electoral Garantizar que la Ley Electoral y de Partidos Políticos, se convierta en un instrumento efectivo, que favorezca el cumplimiento de los fines del Tribunal Supremo Electoral para los cuales fue creado. </w:t>
      </w:r>
    </w:p>
    <w:p w:rsidR="000C729E" w:rsidRPr="000C729E" w:rsidRDefault="000C729E" w:rsidP="000C729E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0C729E">
        <w:rPr>
          <w:rFonts w:ascii="Arial" w:hAnsi="Arial" w:cs="Arial"/>
          <w:sz w:val="18"/>
          <w:szCs w:val="18"/>
        </w:rPr>
        <w:t xml:space="preserve">Garantizar la transparencia en los eventos electorales Incrementar la credibilidad y confianza de la ciudadanía y de las organizaciones políticas, derivado del actuar del Tribunal Supremo Electoral. </w:t>
      </w:r>
    </w:p>
    <w:p w:rsidR="000C729E" w:rsidRPr="000C729E" w:rsidRDefault="000C729E" w:rsidP="000C729E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0C729E">
        <w:rPr>
          <w:rFonts w:ascii="Arial" w:hAnsi="Arial" w:cs="Arial"/>
          <w:sz w:val="18"/>
          <w:szCs w:val="18"/>
        </w:rPr>
        <w:t xml:space="preserve">Garantizar equidad y </w:t>
      </w:r>
      <w:r w:rsidR="00A75F43" w:rsidRPr="000C729E">
        <w:rPr>
          <w:rFonts w:ascii="Arial" w:hAnsi="Arial" w:cs="Arial"/>
          <w:sz w:val="18"/>
          <w:szCs w:val="18"/>
        </w:rPr>
        <w:t>eficiencia</w:t>
      </w:r>
      <w:r w:rsidRPr="000C729E">
        <w:rPr>
          <w:rFonts w:ascii="Arial" w:hAnsi="Arial" w:cs="Arial"/>
          <w:sz w:val="18"/>
          <w:szCs w:val="18"/>
        </w:rPr>
        <w:t xml:space="preserve"> en los mecanismos de inscripción, control y fiscalización de las organizaciones políticas y candidatos a cargos de elección popular.</w:t>
      </w:r>
    </w:p>
    <w:p w:rsidR="000C729E" w:rsidRPr="000C729E" w:rsidRDefault="000C729E" w:rsidP="000C729E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0C729E">
        <w:rPr>
          <w:rFonts w:ascii="Arial" w:hAnsi="Arial" w:cs="Arial"/>
          <w:sz w:val="18"/>
          <w:szCs w:val="18"/>
        </w:rPr>
        <w:t xml:space="preserve"> Garantizar el mejoramiento de capacidades de los partidos políticos respecto a sus derechos y obligaciones legalmente establecidos. Promover la participación </w:t>
      </w:r>
      <w:proofErr w:type="gramStart"/>
      <w:r w:rsidRPr="000C729E">
        <w:rPr>
          <w:rFonts w:ascii="Arial" w:hAnsi="Arial" w:cs="Arial"/>
          <w:sz w:val="18"/>
          <w:szCs w:val="18"/>
        </w:rPr>
        <w:t>cívico</w:t>
      </w:r>
      <w:proofErr w:type="gramEnd"/>
      <w:r w:rsidRPr="000C729E">
        <w:rPr>
          <w:rFonts w:ascii="Arial" w:hAnsi="Arial" w:cs="Arial"/>
          <w:sz w:val="18"/>
          <w:szCs w:val="18"/>
        </w:rPr>
        <w:t xml:space="preserve"> política y democrática de las mujeres, fortaleciendo sus capacidades para optar a puestos de decisión por elección. </w:t>
      </w:r>
    </w:p>
    <w:p w:rsidR="000C729E" w:rsidRPr="000C729E" w:rsidRDefault="000C729E" w:rsidP="000C729E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0C729E">
        <w:rPr>
          <w:rFonts w:ascii="Arial" w:hAnsi="Arial" w:cs="Arial"/>
          <w:sz w:val="18"/>
          <w:szCs w:val="18"/>
        </w:rPr>
        <w:t>Impulsar el incremento de ciudadanos inscritos en el Padrón Electoral, para disminuir el abstencionismo electoral.</w:t>
      </w:r>
    </w:p>
    <w:p w:rsidR="000C729E" w:rsidRPr="000C729E" w:rsidRDefault="000C729E" w:rsidP="000C729E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0C729E">
        <w:rPr>
          <w:rFonts w:ascii="Arial" w:hAnsi="Arial" w:cs="Arial"/>
          <w:sz w:val="18"/>
          <w:szCs w:val="18"/>
        </w:rPr>
        <w:t xml:space="preserve"> Fortalecer la depuración y actualización permanente del Padrón Electoral. </w:t>
      </w:r>
    </w:p>
    <w:p w:rsidR="000C729E" w:rsidRPr="000C729E" w:rsidRDefault="000C729E" w:rsidP="000C729E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0C729E">
        <w:rPr>
          <w:rFonts w:ascii="Arial" w:hAnsi="Arial" w:cs="Arial"/>
          <w:sz w:val="18"/>
          <w:szCs w:val="18"/>
        </w:rPr>
        <w:t>Administrar procesos electorales transparentes, confiables, con amplia participación ciudadana, fomentando el fortalecimiento de los deberes y derechos de los ciudadanos.</w:t>
      </w:r>
    </w:p>
    <w:p w:rsidR="000C729E" w:rsidRPr="000C729E" w:rsidRDefault="000C729E" w:rsidP="000C729E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0C729E">
        <w:rPr>
          <w:rFonts w:ascii="Arial" w:hAnsi="Arial" w:cs="Arial"/>
          <w:sz w:val="18"/>
          <w:szCs w:val="18"/>
        </w:rPr>
        <w:t>Velar por el estricto cumplimiento por parte de las organizaciones políticas, de lo establecido en la Ley Electoral y de Partidos Políticos, su Reglamento y otras normativas en materia político electoral.</w:t>
      </w:r>
    </w:p>
    <w:p w:rsidR="000C729E" w:rsidRPr="000C729E" w:rsidRDefault="000C729E" w:rsidP="000C729E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0C729E">
        <w:rPr>
          <w:rFonts w:ascii="Arial" w:hAnsi="Arial" w:cs="Arial"/>
          <w:sz w:val="18"/>
          <w:szCs w:val="18"/>
        </w:rPr>
        <w:t xml:space="preserve"> Impulsar y desarrollar procesos de reflexión, deliberación y formación cívico-política y electoral con los distintos grupos de ciudadanos, para incrementar su capacidad y conocimiento democrático.</w:t>
      </w:r>
    </w:p>
    <w:p w:rsidR="000C729E" w:rsidRPr="000C729E" w:rsidRDefault="000C729E" w:rsidP="000C729E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0C729E">
        <w:rPr>
          <w:rFonts w:ascii="Arial" w:hAnsi="Arial" w:cs="Arial"/>
          <w:sz w:val="18"/>
          <w:szCs w:val="18"/>
        </w:rPr>
        <w:t xml:space="preserve"> Mejorar y agilizar procesos y gestiones actualizados a fin de brindar un mejor servicio, en las dependencias del Tribunal Supremo Electoral. </w:t>
      </w:r>
    </w:p>
    <w:p w:rsidR="000C729E" w:rsidRPr="000C729E" w:rsidRDefault="000C729E" w:rsidP="000C729E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0C729E">
        <w:rPr>
          <w:rFonts w:ascii="Arial" w:hAnsi="Arial" w:cs="Arial"/>
          <w:sz w:val="18"/>
          <w:szCs w:val="18"/>
        </w:rPr>
        <w:t>Dar a conocer información relevante y pertinente de los objetivos, acciones y resultados del Tribunal Supremo Electoral, de manera confiable, veraz y oportuna tanto externa como internamente.</w:t>
      </w:r>
    </w:p>
    <w:sectPr w:rsidR="000C729E" w:rsidRPr="000C729E" w:rsidSect="000C729E">
      <w:pgSz w:w="12240" w:h="15840"/>
      <w:pgMar w:top="1276" w:right="104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0C729E"/>
    <w:rsid w:val="000C729E"/>
    <w:rsid w:val="005F1897"/>
    <w:rsid w:val="00A75F43"/>
    <w:rsid w:val="00B53935"/>
    <w:rsid w:val="00BD3C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G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G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393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C72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GT"/>
    </w:rPr>
  </w:style>
  <w:style w:type="character" w:styleId="Textoennegrita">
    <w:name w:val="Strong"/>
    <w:basedOn w:val="Fuentedeprrafopredeter"/>
    <w:uiPriority w:val="22"/>
    <w:qFormat/>
    <w:rsid w:val="000C729E"/>
    <w:rPr>
      <w:b/>
      <w:bCs/>
    </w:rPr>
  </w:style>
  <w:style w:type="character" w:customStyle="1" w:styleId="apple-converted-space">
    <w:name w:val="apple-converted-space"/>
    <w:basedOn w:val="Fuentedeprrafopredeter"/>
    <w:rsid w:val="000C729E"/>
  </w:style>
  <w:style w:type="character" w:styleId="Hipervnculo">
    <w:name w:val="Hyperlink"/>
    <w:basedOn w:val="Fuentedeprrafopredeter"/>
    <w:uiPriority w:val="99"/>
    <w:semiHidden/>
    <w:unhideWhenUsed/>
    <w:rsid w:val="000C729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162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496</Words>
  <Characters>2730</Characters>
  <Application>Microsoft Office Word</Application>
  <DocSecurity>0</DocSecurity>
  <Lines>22</Lines>
  <Paragraphs>6</Paragraphs>
  <ScaleCrop>false</ScaleCrop>
  <Company>Microsoft</Company>
  <LinksUpToDate>false</LinksUpToDate>
  <CharactersWithSpaces>3220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Marielos Cordova</dc:creator>
  <cp:lastModifiedBy>Marielos Cordova</cp:lastModifiedBy>
  <cp:revision>2</cp:revision>
  <dcterms:created xsi:type="dcterms:W3CDTF">2015-12-21T13:43:00Z</dcterms:created>
  <dcterms:modified xsi:type="dcterms:W3CDTF">2015-12-21T13:56:00Z</dcterms:modified>
</cp:coreProperties>
</file>